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C913E" w14:textId="77777777" w:rsidR="00FA1536" w:rsidRDefault="00B236FC">
      <w:pPr>
        <w:spacing w:after="240"/>
        <w:jc w:val="center"/>
      </w:pPr>
      <w:r>
        <w:rPr>
          <w:rFonts w:ascii="Times New Roman" w:hAnsi="Times New Roman"/>
          <w:b/>
          <w:sz w:val="28"/>
        </w:rPr>
        <w:t>“O‘ztransgaz” aksiyadorlik jamiyati tizimida jismoniy va yuridik shaxslarning murojaatlari bilan ishlash borasida 2026-yilning yanvar-sentyabr oylarida amalga oshirilgan ishlar yuzasidan tahliliy</w:t>
      </w:r>
      <w:r>
        <w:rPr>
          <w:rFonts w:ascii="Times New Roman" w:hAnsi="Times New Roman"/>
          <w:b/>
          <w:sz w:val="28"/>
        </w:rPr>
        <w:br/>
        <w:t>AXBOROTNOMA</w:t>
      </w:r>
    </w:p>
    <w:p w14:paraId="01FCB51E" w14:textId="77777777" w:rsidR="00FA1536" w:rsidRDefault="00B236FC">
      <w:pPr>
        <w:spacing w:after="120"/>
      </w:pPr>
      <w:r>
        <w:t xml:space="preserve">Hisobot davrida o‘rganish natijalari </w:t>
      </w:r>
      <w:r>
        <w:t>boʼyicha tasdiqlangan dasturlar asosida “O‘ztransgaz” AJ mas’ul xodimlari tomonidan Jismoniy va yuridik shaxslarning murojaatlari to‘g‘risidagi qonun hujjatlarida belgilangan qoida va talablarning mazmun va mohiyatini to‘liq tushunib olish, amaliyotda keng</w:t>
      </w:r>
      <w:r>
        <w:t xml:space="preserve"> va samarali qo‘llash mavzusida o‘tkazilgan o‘rganishlar soni 18 marotaba hamda seminar mashg‘ulotlari soni 3 bor o‘tkazilgan. “O‘ztransgaz” AJ boshqaruv raisi hamda uning o‘rinbosari boshchiligida respublikaning barcha tuman va shaharlarida o‘tkaziladigan</w:t>
      </w:r>
      <w:r>
        <w:t xml:space="preserve"> sayyor qabullari tasdiqlangan grafiklari asosida tashkil etildi.</w:t>
      </w:r>
    </w:p>
    <w:p w14:paraId="56BCFF36" w14:textId="77777777" w:rsidR="00FA1536" w:rsidRDefault="00B236FC">
      <w:pPr>
        <w:spacing w:after="120"/>
      </w:pPr>
      <w:r>
        <w:t xml:space="preserve">Hisobot davrida ishchi guruhlar tomonidan respublikaning barcha tuman va shaharlarida jami 15 ta sayyor qabul o‘tkazildi. Jumladan, Qoraqalpog‘iston Respublikasi 1 bor, Andijon viloyatida 2 </w:t>
      </w:r>
      <w:r>
        <w:t>bor, Buxoro 2 bor, Jizzax 1 bor, Qashqadaryo 1 bor, Samarqand viloyatida 3 bor, Toshkent 1 bor, Farg‘ona viloyatida 2 bor, Xorazm viloyatida 2 marotaba. Ommaviy va sayyor qabullar davomida murojaat qilayotgan fuqarolar muammolarini hal etishga alohida e’ti</w:t>
      </w:r>
      <w:r>
        <w:t>bor qaratilib, qabullarning natijadorligiga erishish, murojaatlarni xolis va tezkor ko‘rib chiqishga qaratilgan aniq choralar ko‘rildi.</w:t>
      </w:r>
    </w:p>
    <w:p w14:paraId="2B97A71E" w14:textId="77777777" w:rsidR="00FA1536" w:rsidRDefault="00B236FC">
      <w:pPr>
        <w:spacing w:before="240" w:after="120"/>
      </w:pPr>
      <w:r>
        <w:rPr>
          <w:b/>
        </w:rPr>
        <w:t>Sayyor qabullarning hududlar bo‘yicha taqsimoti:</w:t>
      </w:r>
    </w:p>
    <w:tbl>
      <w:tblPr>
        <w:tblStyle w:val="aff0"/>
        <w:tblW w:w="0" w:type="auto"/>
        <w:tblLook w:val="04A0" w:firstRow="1" w:lastRow="0" w:firstColumn="1" w:lastColumn="0" w:noHBand="0" w:noVBand="1"/>
      </w:tblPr>
      <w:tblGrid>
        <w:gridCol w:w="4676"/>
        <w:gridCol w:w="4674"/>
      </w:tblGrid>
      <w:tr w:rsidR="00FA1536" w14:paraId="683888E1" w14:textId="77777777">
        <w:tc>
          <w:tcPr>
            <w:tcW w:w="4680" w:type="dxa"/>
            <w:shd w:val="clear" w:color="auto" w:fill="EAEAEA"/>
            <w:tcMar>
              <w:top w:w="80" w:type="dxa"/>
              <w:left w:w="120" w:type="dxa"/>
              <w:bottom w:w="80" w:type="dxa"/>
              <w:right w:w="120" w:type="dxa"/>
            </w:tcMar>
          </w:tcPr>
          <w:p w14:paraId="73F2F4F9" w14:textId="77777777" w:rsidR="00FA1536" w:rsidRDefault="00B236FC">
            <w:pPr>
              <w:spacing w:before="80" w:after="80"/>
            </w:pPr>
            <w:r>
              <w:rPr>
                <w:rFonts w:ascii="Times New Roman" w:hAnsi="Times New Roman"/>
                <w:b/>
              </w:rPr>
              <w:t>Hudud nomi</w:t>
            </w:r>
          </w:p>
        </w:tc>
        <w:tc>
          <w:tcPr>
            <w:tcW w:w="4680" w:type="dxa"/>
            <w:shd w:val="clear" w:color="auto" w:fill="EAEAEA"/>
            <w:tcMar>
              <w:top w:w="80" w:type="dxa"/>
              <w:left w:w="120" w:type="dxa"/>
              <w:bottom w:w="80" w:type="dxa"/>
              <w:right w:w="120" w:type="dxa"/>
            </w:tcMar>
          </w:tcPr>
          <w:p w14:paraId="4AACF4CF" w14:textId="77777777" w:rsidR="00FA1536" w:rsidRDefault="00B236FC">
            <w:pPr>
              <w:spacing w:before="80" w:after="80"/>
              <w:jc w:val="center"/>
            </w:pPr>
            <w:r>
              <w:rPr>
                <w:rFonts w:ascii="Times New Roman" w:hAnsi="Times New Roman"/>
                <w:b/>
              </w:rPr>
              <w:t>Sayyor qabullar soni</w:t>
            </w:r>
          </w:p>
        </w:tc>
      </w:tr>
      <w:tr w:rsidR="00FA1536" w14:paraId="00260A9E" w14:textId="77777777">
        <w:tc>
          <w:tcPr>
            <w:tcW w:w="4680" w:type="dxa"/>
            <w:tcMar>
              <w:top w:w="80" w:type="dxa"/>
              <w:left w:w="120" w:type="dxa"/>
              <w:bottom w:w="80" w:type="dxa"/>
              <w:right w:w="120" w:type="dxa"/>
            </w:tcMar>
          </w:tcPr>
          <w:p w14:paraId="5BE81E37" w14:textId="77777777" w:rsidR="00FA1536" w:rsidRDefault="00B236FC">
            <w:pPr>
              <w:spacing w:before="80" w:after="80"/>
            </w:pPr>
            <w:r>
              <w:rPr>
                <w:rFonts w:ascii="Times New Roman" w:hAnsi="Times New Roman"/>
              </w:rPr>
              <w:t>Samarqand viloyati</w:t>
            </w:r>
          </w:p>
        </w:tc>
        <w:tc>
          <w:tcPr>
            <w:tcW w:w="4680" w:type="dxa"/>
            <w:tcMar>
              <w:top w:w="80" w:type="dxa"/>
              <w:left w:w="120" w:type="dxa"/>
              <w:bottom w:w="80" w:type="dxa"/>
              <w:right w:w="120" w:type="dxa"/>
            </w:tcMar>
          </w:tcPr>
          <w:p w14:paraId="72DC1532" w14:textId="77777777" w:rsidR="00FA1536" w:rsidRDefault="00B236FC">
            <w:pPr>
              <w:spacing w:before="80" w:after="80"/>
              <w:jc w:val="center"/>
            </w:pPr>
            <w:r>
              <w:rPr>
                <w:rFonts w:ascii="Times New Roman" w:hAnsi="Times New Roman"/>
              </w:rPr>
              <w:t>3 bor</w:t>
            </w:r>
          </w:p>
        </w:tc>
      </w:tr>
      <w:tr w:rsidR="00FA1536" w14:paraId="2CE16270" w14:textId="77777777">
        <w:tc>
          <w:tcPr>
            <w:tcW w:w="4680" w:type="dxa"/>
            <w:tcMar>
              <w:top w:w="80" w:type="dxa"/>
              <w:left w:w="120" w:type="dxa"/>
              <w:bottom w:w="80" w:type="dxa"/>
              <w:right w:w="120" w:type="dxa"/>
            </w:tcMar>
          </w:tcPr>
          <w:p w14:paraId="4E71EECB" w14:textId="77777777" w:rsidR="00FA1536" w:rsidRDefault="00B236FC">
            <w:pPr>
              <w:spacing w:before="80" w:after="80"/>
            </w:pPr>
            <w:r>
              <w:rPr>
                <w:rFonts w:ascii="Times New Roman" w:hAnsi="Times New Roman"/>
              </w:rPr>
              <w:t>Andijon vilo</w:t>
            </w:r>
            <w:r>
              <w:rPr>
                <w:rFonts w:ascii="Times New Roman" w:hAnsi="Times New Roman"/>
              </w:rPr>
              <w:t>yati</w:t>
            </w:r>
          </w:p>
        </w:tc>
        <w:tc>
          <w:tcPr>
            <w:tcW w:w="4680" w:type="dxa"/>
            <w:tcMar>
              <w:top w:w="80" w:type="dxa"/>
              <w:left w:w="120" w:type="dxa"/>
              <w:bottom w:w="80" w:type="dxa"/>
              <w:right w:w="120" w:type="dxa"/>
            </w:tcMar>
          </w:tcPr>
          <w:p w14:paraId="03E2BFB6" w14:textId="77777777" w:rsidR="00FA1536" w:rsidRDefault="00B236FC">
            <w:pPr>
              <w:spacing w:before="80" w:after="80"/>
              <w:jc w:val="center"/>
            </w:pPr>
            <w:r>
              <w:rPr>
                <w:rFonts w:ascii="Times New Roman" w:hAnsi="Times New Roman"/>
              </w:rPr>
              <w:t>2 bor</w:t>
            </w:r>
          </w:p>
        </w:tc>
      </w:tr>
      <w:tr w:rsidR="00FA1536" w14:paraId="39733A63" w14:textId="77777777">
        <w:tc>
          <w:tcPr>
            <w:tcW w:w="4680" w:type="dxa"/>
            <w:tcMar>
              <w:top w:w="80" w:type="dxa"/>
              <w:left w:w="120" w:type="dxa"/>
              <w:bottom w:w="80" w:type="dxa"/>
              <w:right w:w="120" w:type="dxa"/>
            </w:tcMar>
          </w:tcPr>
          <w:p w14:paraId="5D8A3ACD" w14:textId="77777777" w:rsidR="00FA1536" w:rsidRDefault="00B236FC">
            <w:pPr>
              <w:spacing w:before="80" w:after="80"/>
            </w:pPr>
            <w:r>
              <w:rPr>
                <w:rFonts w:ascii="Times New Roman" w:hAnsi="Times New Roman"/>
              </w:rPr>
              <w:t>Buxoro viloyati</w:t>
            </w:r>
          </w:p>
        </w:tc>
        <w:tc>
          <w:tcPr>
            <w:tcW w:w="4680" w:type="dxa"/>
            <w:tcMar>
              <w:top w:w="80" w:type="dxa"/>
              <w:left w:w="120" w:type="dxa"/>
              <w:bottom w:w="80" w:type="dxa"/>
              <w:right w:w="120" w:type="dxa"/>
            </w:tcMar>
          </w:tcPr>
          <w:p w14:paraId="1AFEBBB1" w14:textId="77777777" w:rsidR="00FA1536" w:rsidRDefault="00B236FC">
            <w:pPr>
              <w:spacing w:before="80" w:after="80"/>
              <w:jc w:val="center"/>
            </w:pPr>
            <w:r>
              <w:rPr>
                <w:rFonts w:ascii="Times New Roman" w:hAnsi="Times New Roman"/>
              </w:rPr>
              <w:t>2 bor</w:t>
            </w:r>
          </w:p>
        </w:tc>
      </w:tr>
      <w:tr w:rsidR="00FA1536" w14:paraId="645B1F23" w14:textId="77777777">
        <w:tc>
          <w:tcPr>
            <w:tcW w:w="4680" w:type="dxa"/>
            <w:tcMar>
              <w:top w:w="80" w:type="dxa"/>
              <w:left w:w="120" w:type="dxa"/>
              <w:bottom w:w="80" w:type="dxa"/>
              <w:right w:w="120" w:type="dxa"/>
            </w:tcMar>
          </w:tcPr>
          <w:p w14:paraId="1493AD94" w14:textId="77777777" w:rsidR="00FA1536" w:rsidRDefault="00B236FC">
            <w:pPr>
              <w:spacing w:before="80" w:after="80"/>
            </w:pPr>
            <w:r>
              <w:rPr>
                <w:rFonts w:ascii="Times New Roman" w:hAnsi="Times New Roman"/>
              </w:rPr>
              <w:t>Farg‘ona viloyati</w:t>
            </w:r>
          </w:p>
        </w:tc>
        <w:tc>
          <w:tcPr>
            <w:tcW w:w="4680" w:type="dxa"/>
            <w:tcMar>
              <w:top w:w="80" w:type="dxa"/>
              <w:left w:w="120" w:type="dxa"/>
              <w:bottom w:w="80" w:type="dxa"/>
              <w:right w:w="120" w:type="dxa"/>
            </w:tcMar>
          </w:tcPr>
          <w:p w14:paraId="0076B06E" w14:textId="77777777" w:rsidR="00FA1536" w:rsidRDefault="00B236FC">
            <w:pPr>
              <w:spacing w:before="80" w:after="80"/>
              <w:jc w:val="center"/>
            </w:pPr>
            <w:r>
              <w:rPr>
                <w:rFonts w:ascii="Times New Roman" w:hAnsi="Times New Roman"/>
              </w:rPr>
              <w:t>2 bor</w:t>
            </w:r>
          </w:p>
        </w:tc>
      </w:tr>
      <w:tr w:rsidR="00FA1536" w14:paraId="1A5AE431" w14:textId="77777777">
        <w:tc>
          <w:tcPr>
            <w:tcW w:w="4680" w:type="dxa"/>
            <w:tcMar>
              <w:top w:w="80" w:type="dxa"/>
              <w:left w:w="120" w:type="dxa"/>
              <w:bottom w:w="80" w:type="dxa"/>
              <w:right w:w="120" w:type="dxa"/>
            </w:tcMar>
          </w:tcPr>
          <w:p w14:paraId="16C65DE1" w14:textId="77777777" w:rsidR="00FA1536" w:rsidRDefault="00B236FC">
            <w:pPr>
              <w:spacing w:before="80" w:after="80"/>
            </w:pPr>
            <w:r>
              <w:rPr>
                <w:rFonts w:ascii="Times New Roman" w:hAnsi="Times New Roman"/>
              </w:rPr>
              <w:t>Xorazm viloyati</w:t>
            </w:r>
          </w:p>
        </w:tc>
        <w:tc>
          <w:tcPr>
            <w:tcW w:w="4680" w:type="dxa"/>
            <w:tcMar>
              <w:top w:w="80" w:type="dxa"/>
              <w:left w:w="120" w:type="dxa"/>
              <w:bottom w:w="80" w:type="dxa"/>
              <w:right w:w="120" w:type="dxa"/>
            </w:tcMar>
          </w:tcPr>
          <w:p w14:paraId="530C4FB6" w14:textId="77777777" w:rsidR="00FA1536" w:rsidRDefault="00B236FC">
            <w:pPr>
              <w:spacing w:before="80" w:after="80"/>
              <w:jc w:val="center"/>
            </w:pPr>
            <w:r>
              <w:rPr>
                <w:rFonts w:ascii="Times New Roman" w:hAnsi="Times New Roman"/>
              </w:rPr>
              <w:t>2 marotaba</w:t>
            </w:r>
          </w:p>
        </w:tc>
      </w:tr>
      <w:tr w:rsidR="00FA1536" w14:paraId="2141D106" w14:textId="77777777">
        <w:tc>
          <w:tcPr>
            <w:tcW w:w="4680" w:type="dxa"/>
            <w:tcMar>
              <w:top w:w="80" w:type="dxa"/>
              <w:left w:w="120" w:type="dxa"/>
              <w:bottom w:w="80" w:type="dxa"/>
              <w:right w:w="120" w:type="dxa"/>
            </w:tcMar>
          </w:tcPr>
          <w:p w14:paraId="2BF0F4EF" w14:textId="77777777" w:rsidR="00FA1536" w:rsidRDefault="00B236FC">
            <w:pPr>
              <w:spacing w:before="80" w:after="80"/>
            </w:pPr>
            <w:r>
              <w:rPr>
                <w:rFonts w:ascii="Times New Roman" w:hAnsi="Times New Roman"/>
              </w:rPr>
              <w:t>Qoraqalpog‘iston Respublikasi</w:t>
            </w:r>
          </w:p>
        </w:tc>
        <w:tc>
          <w:tcPr>
            <w:tcW w:w="4680" w:type="dxa"/>
            <w:tcMar>
              <w:top w:w="80" w:type="dxa"/>
              <w:left w:w="120" w:type="dxa"/>
              <w:bottom w:w="80" w:type="dxa"/>
              <w:right w:w="120" w:type="dxa"/>
            </w:tcMar>
          </w:tcPr>
          <w:p w14:paraId="55F13317" w14:textId="77777777" w:rsidR="00FA1536" w:rsidRDefault="00B236FC">
            <w:pPr>
              <w:spacing w:before="80" w:after="80"/>
              <w:jc w:val="center"/>
            </w:pPr>
            <w:r>
              <w:rPr>
                <w:rFonts w:ascii="Times New Roman" w:hAnsi="Times New Roman"/>
              </w:rPr>
              <w:t>1 bor</w:t>
            </w:r>
          </w:p>
        </w:tc>
      </w:tr>
      <w:tr w:rsidR="00FA1536" w14:paraId="740655B2" w14:textId="77777777">
        <w:tc>
          <w:tcPr>
            <w:tcW w:w="4680" w:type="dxa"/>
            <w:tcMar>
              <w:top w:w="80" w:type="dxa"/>
              <w:left w:w="120" w:type="dxa"/>
              <w:bottom w:w="80" w:type="dxa"/>
              <w:right w:w="120" w:type="dxa"/>
            </w:tcMar>
          </w:tcPr>
          <w:p w14:paraId="74FC9A95" w14:textId="77777777" w:rsidR="00FA1536" w:rsidRDefault="00B236FC">
            <w:pPr>
              <w:spacing w:before="80" w:after="80"/>
            </w:pPr>
            <w:r>
              <w:rPr>
                <w:rFonts w:ascii="Times New Roman" w:hAnsi="Times New Roman"/>
              </w:rPr>
              <w:t>Jizzax viloyati</w:t>
            </w:r>
          </w:p>
        </w:tc>
        <w:tc>
          <w:tcPr>
            <w:tcW w:w="4680" w:type="dxa"/>
            <w:tcMar>
              <w:top w:w="80" w:type="dxa"/>
              <w:left w:w="120" w:type="dxa"/>
              <w:bottom w:w="80" w:type="dxa"/>
              <w:right w:w="120" w:type="dxa"/>
            </w:tcMar>
          </w:tcPr>
          <w:p w14:paraId="19C34A4E" w14:textId="77777777" w:rsidR="00FA1536" w:rsidRDefault="00B236FC">
            <w:pPr>
              <w:spacing w:before="80" w:after="80"/>
              <w:jc w:val="center"/>
            </w:pPr>
            <w:r>
              <w:rPr>
                <w:rFonts w:ascii="Times New Roman" w:hAnsi="Times New Roman"/>
              </w:rPr>
              <w:t>1 bor</w:t>
            </w:r>
          </w:p>
        </w:tc>
      </w:tr>
      <w:tr w:rsidR="00FA1536" w14:paraId="067F4365" w14:textId="77777777">
        <w:tc>
          <w:tcPr>
            <w:tcW w:w="4680" w:type="dxa"/>
            <w:tcMar>
              <w:top w:w="80" w:type="dxa"/>
              <w:left w:w="120" w:type="dxa"/>
              <w:bottom w:w="80" w:type="dxa"/>
              <w:right w:w="120" w:type="dxa"/>
            </w:tcMar>
          </w:tcPr>
          <w:p w14:paraId="321272D2" w14:textId="77777777" w:rsidR="00FA1536" w:rsidRDefault="00B236FC">
            <w:pPr>
              <w:spacing w:before="80" w:after="80"/>
            </w:pPr>
            <w:r>
              <w:rPr>
                <w:rFonts w:ascii="Times New Roman" w:hAnsi="Times New Roman"/>
              </w:rPr>
              <w:t>Qashqadaryo viloyati</w:t>
            </w:r>
          </w:p>
        </w:tc>
        <w:tc>
          <w:tcPr>
            <w:tcW w:w="4680" w:type="dxa"/>
            <w:tcMar>
              <w:top w:w="80" w:type="dxa"/>
              <w:left w:w="120" w:type="dxa"/>
              <w:bottom w:w="80" w:type="dxa"/>
              <w:right w:w="120" w:type="dxa"/>
            </w:tcMar>
          </w:tcPr>
          <w:p w14:paraId="08CB9E29" w14:textId="77777777" w:rsidR="00FA1536" w:rsidRDefault="00B236FC">
            <w:pPr>
              <w:spacing w:before="80" w:after="80"/>
              <w:jc w:val="center"/>
            </w:pPr>
            <w:r>
              <w:rPr>
                <w:rFonts w:ascii="Times New Roman" w:hAnsi="Times New Roman"/>
              </w:rPr>
              <w:t>1 bor</w:t>
            </w:r>
          </w:p>
        </w:tc>
      </w:tr>
      <w:tr w:rsidR="00FA1536" w14:paraId="18A9A90B" w14:textId="77777777">
        <w:tc>
          <w:tcPr>
            <w:tcW w:w="4680" w:type="dxa"/>
            <w:tcMar>
              <w:top w:w="80" w:type="dxa"/>
              <w:left w:w="120" w:type="dxa"/>
              <w:bottom w:w="80" w:type="dxa"/>
              <w:right w:w="120" w:type="dxa"/>
            </w:tcMar>
          </w:tcPr>
          <w:p w14:paraId="5B492B84" w14:textId="77777777" w:rsidR="00FA1536" w:rsidRDefault="00B236FC">
            <w:pPr>
              <w:spacing w:before="80" w:after="80"/>
            </w:pPr>
            <w:r>
              <w:rPr>
                <w:rFonts w:ascii="Times New Roman" w:hAnsi="Times New Roman"/>
              </w:rPr>
              <w:t>Toshkent viloyati</w:t>
            </w:r>
          </w:p>
        </w:tc>
        <w:tc>
          <w:tcPr>
            <w:tcW w:w="4680" w:type="dxa"/>
            <w:tcMar>
              <w:top w:w="80" w:type="dxa"/>
              <w:left w:w="120" w:type="dxa"/>
              <w:bottom w:w="80" w:type="dxa"/>
              <w:right w:w="120" w:type="dxa"/>
            </w:tcMar>
          </w:tcPr>
          <w:p w14:paraId="21175F24" w14:textId="77777777" w:rsidR="00FA1536" w:rsidRDefault="00B236FC">
            <w:pPr>
              <w:spacing w:before="80" w:after="80"/>
              <w:jc w:val="center"/>
            </w:pPr>
            <w:r>
              <w:rPr>
                <w:rFonts w:ascii="Times New Roman" w:hAnsi="Times New Roman"/>
              </w:rPr>
              <w:t>1 bor</w:t>
            </w:r>
          </w:p>
        </w:tc>
      </w:tr>
      <w:tr w:rsidR="00FA1536" w14:paraId="02B699E0" w14:textId="77777777">
        <w:tc>
          <w:tcPr>
            <w:tcW w:w="4680" w:type="dxa"/>
            <w:shd w:val="clear" w:color="auto" w:fill="F5F5F5"/>
            <w:tcMar>
              <w:top w:w="80" w:type="dxa"/>
              <w:left w:w="120" w:type="dxa"/>
              <w:bottom w:w="80" w:type="dxa"/>
              <w:right w:w="120" w:type="dxa"/>
            </w:tcMar>
          </w:tcPr>
          <w:p w14:paraId="3FC6D0FB" w14:textId="77777777" w:rsidR="00FA1536" w:rsidRDefault="00B236FC">
            <w:pPr>
              <w:spacing w:before="80" w:after="80"/>
            </w:pPr>
            <w:r>
              <w:rPr>
                <w:rFonts w:ascii="Times New Roman" w:hAnsi="Times New Roman"/>
                <w:b/>
              </w:rPr>
              <w:lastRenderedPageBreak/>
              <w:t>JAMI</w:t>
            </w:r>
          </w:p>
        </w:tc>
        <w:tc>
          <w:tcPr>
            <w:tcW w:w="4680" w:type="dxa"/>
            <w:shd w:val="clear" w:color="auto" w:fill="F5F5F5"/>
            <w:tcMar>
              <w:top w:w="80" w:type="dxa"/>
              <w:left w:w="120" w:type="dxa"/>
              <w:bottom w:w="80" w:type="dxa"/>
              <w:right w:w="120" w:type="dxa"/>
            </w:tcMar>
          </w:tcPr>
          <w:p w14:paraId="494BF9AF" w14:textId="77777777" w:rsidR="00FA1536" w:rsidRDefault="00B236FC">
            <w:pPr>
              <w:spacing w:before="80" w:after="80"/>
              <w:jc w:val="center"/>
            </w:pPr>
            <w:r>
              <w:rPr>
                <w:rFonts w:ascii="Times New Roman" w:hAnsi="Times New Roman"/>
                <w:b/>
              </w:rPr>
              <w:t>15 ta</w:t>
            </w:r>
          </w:p>
        </w:tc>
      </w:tr>
    </w:tbl>
    <w:p w14:paraId="3239DE0C" w14:textId="77777777" w:rsidR="00FA1536" w:rsidRDefault="00FA1536">
      <w:pPr>
        <w:spacing w:before="120" w:after="120"/>
      </w:pPr>
    </w:p>
    <w:p w14:paraId="71084AA0" w14:textId="77777777" w:rsidR="00FA1536" w:rsidRDefault="00B236FC">
      <w:pPr>
        <w:spacing w:after="120"/>
      </w:pPr>
      <w:r>
        <w:t xml:space="preserve">2026-yilning </w:t>
      </w:r>
      <w:r>
        <w:t xml:space="preserve">yanvar-sentyabr oylarida: O‘tkazilgan ushbu sayyor qabullarda “O‘ztransgaz” AJ markaziy apparati, unining quyi korxona va tashkilotlariga jismoniy va yuridik shaxslardan jami 186 ta og‘zaki murojaatlar tushgan bo‘lib, ko‘tarilgan muammoli masalalar joyida </w:t>
      </w:r>
      <w:r>
        <w:t>mutaxassislar tomonidan hal etildi. “O‘ztransgaz” AJ boshqaruv raisi, o‘rinbosarlari, markaziy apparati mutaxassislar va uning quyi korxona va tashkilotlari tomonidan bevosita aksiyadorlik jamiyatida shaxsiy qabullarda 200 nafar shaxslar qabul qilingan.</w:t>
      </w:r>
    </w:p>
    <w:p w14:paraId="6623CBEA" w14:textId="77777777" w:rsidR="00FA1536" w:rsidRDefault="00B236FC">
      <w:pPr>
        <w:spacing w:after="120"/>
      </w:pPr>
      <w:r>
        <w:t>“O</w:t>
      </w:r>
      <w:r>
        <w:t>‘ztransgaz” AJ markaziy apparati, unining quyi korxona va tashkilotlariga jismoniy va yuridik shaxslardan 286 tasi bevosita yozma, 386 ta shaxsiy va sayyor og‘zaki qabullarda, 121 ta elektron pochta, 31 ta og‘zaki telefon, 225 tasi O‘zbekiston Respublikasi</w:t>
      </w:r>
      <w:r>
        <w:t xml:space="preserve"> Prezidentining Virtual qabulxonasi orqali murojaatlar kelib tushgan. Murojaatlarning ko‘rib chiqilishi to‘liq nazoratga olinib, 981 tasi qanoatlantirilgan, huquqiy ma'lumot berish orqali hal qilingan, 5 tasi tushuntirish berilgan, 2 tasi ko‘rmasdan qoldir</w:t>
      </w:r>
      <w:r>
        <w:t>ilgan, 36 tasi tegishliligi boʼyicha boshqa tashkilotga yuborilgan va 25 tasi o‘rganish jarayonida.</w:t>
      </w:r>
    </w:p>
    <w:p w14:paraId="0652D084" w14:textId="77777777" w:rsidR="00FA1536" w:rsidRDefault="00B236FC">
      <w:pPr>
        <w:spacing w:after="120"/>
      </w:pPr>
      <w:r>
        <w:t>Jismoniy va yuridik shaxslarning murojaatlarini ko‘rib chiqishda kamchilik va qonunbuzilish holatlariga yo‘l qo‘ygan rahbar va mas’ul xodimlarga nisbatan ja</w:t>
      </w:r>
      <w:r>
        <w:t>vobgarlik choralari ko‘rilishi ta’minlanmoqda. “O‘ztransgaz” AJ tomonidan 2026-yilning yanvar-sentyabr oylarida murojaatlar ko‘rib chiqish natijalari bo‘yicha OAVda 73 marta chiqish amalga oshirilgan. Jumladan, aksiyadorlik jamiyati veb-saytida 66 bor chiq</w:t>
      </w:r>
      <w:r>
        <w:t>ishlar tashkil etilgan.</w:t>
      </w:r>
    </w:p>
    <w:p w14:paraId="3215F8C6" w14:textId="77777777" w:rsidR="00FA1536" w:rsidRDefault="00B236FC">
      <w:pPr>
        <w:spacing w:after="120"/>
      </w:pPr>
      <w:r>
        <w:t>2026-yilning yanvar-sentyabr oylarida “O‘ztransgaz” AJ markaziy apparati, uning quyi korxona va tashkilotlarida jismoniy va yuridik shaxslar bilan bevosita ishlash, ularning muammolarini aniqlash va hal qilishni nazarda tutuvchi tiz</w:t>
      </w:r>
      <w:r>
        <w:t>imda faoliyat ko‘rsatish choralari ko‘rildi.</w:t>
      </w:r>
    </w:p>
    <w:sectPr w:rsidR="00FA153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236FC"/>
    <w:rsid w:val="00B47730"/>
    <w:rsid w:val="00CB0664"/>
    <w:rsid w:val="00FA15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8BD77"/>
  <w14:defaultImageDpi w14:val="300"/>
  <w15:docId w15:val="{7C50714C-DB8A-4381-BE57-00EE488EC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Muxamad Baratov</cp:lastModifiedBy>
  <cp:revision>2</cp:revision>
  <dcterms:created xsi:type="dcterms:W3CDTF">2026-10-06T10:44:00Z</dcterms:created>
  <dcterms:modified xsi:type="dcterms:W3CDTF">2026-10-06T10:44:00Z</dcterms:modified>
  <cp:category/>
</cp:coreProperties>
</file>